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687A" w14:textId="77777777" w:rsidR="00111CBA" w:rsidRDefault="001744C8">
      <w:pPr>
        <w:rPr>
          <w:b/>
          <w:sz w:val="28"/>
          <w:szCs w:val="28"/>
        </w:rPr>
      </w:pPr>
      <w:r>
        <w:rPr>
          <w:b/>
          <w:noProof/>
        </w:rPr>
        <w:drawing>
          <wp:inline distT="0" distB="0" distL="0" distR="0" wp14:anchorId="276E88D6" wp14:editId="56844545">
            <wp:extent cx="774065" cy="1188720"/>
            <wp:effectExtent l="0" t="0" r="0" b="0"/>
            <wp:docPr id="38"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774065" cy="1188720"/>
                    </a:xfrm>
                    <a:prstGeom prst="rect">
                      <a:avLst/>
                    </a:prstGeom>
                    <a:ln/>
                  </pic:spPr>
                </pic:pic>
              </a:graphicData>
            </a:graphic>
          </wp:inline>
        </w:drawing>
      </w:r>
    </w:p>
    <w:p w14:paraId="1264CA18" w14:textId="77777777" w:rsidR="00111CBA" w:rsidRDefault="001744C8">
      <w:pPr>
        <w:pStyle w:val="Heading1"/>
        <w:rPr>
          <w:rFonts w:ascii="Arial" w:eastAsia="Arial" w:hAnsi="Arial" w:cs="Arial"/>
          <w:b/>
          <w:sz w:val="28"/>
          <w:szCs w:val="28"/>
        </w:rPr>
      </w:pPr>
      <w:bookmarkStart w:id="0" w:name="_heading=h.gjdgxs" w:colFirst="0" w:colLast="0"/>
      <w:bookmarkEnd w:id="0"/>
      <w:r>
        <w:rPr>
          <w:rFonts w:ascii="Arial" w:eastAsia="Arial" w:hAnsi="Arial" w:cs="Arial"/>
          <w:b/>
          <w:sz w:val="28"/>
          <w:szCs w:val="28"/>
        </w:rPr>
        <w:t>Dignity at Work Policy</w:t>
      </w:r>
    </w:p>
    <w:p w14:paraId="3FA9AFEB" w14:textId="77777777" w:rsidR="00111CBA" w:rsidRDefault="00111CBA">
      <w:pPr>
        <w:rPr>
          <w:color w:val="222222"/>
        </w:rPr>
      </w:pPr>
    </w:p>
    <w:p w14:paraId="6BCEA2DC" w14:textId="77777777" w:rsidR="00111CBA" w:rsidRDefault="001744C8">
      <w:pPr>
        <w:rPr>
          <w:b/>
          <w:color w:val="171717"/>
        </w:rPr>
      </w:pPr>
      <w:r>
        <w:rPr>
          <w:b/>
          <w:color w:val="171717"/>
        </w:rPr>
        <w:t>Context</w:t>
      </w:r>
    </w:p>
    <w:p w14:paraId="714ABF9D" w14:textId="77777777" w:rsidR="00111CBA" w:rsidRDefault="00111CBA">
      <w:pPr>
        <w:rPr>
          <w:b/>
          <w:color w:val="171717"/>
        </w:rPr>
      </w:pPr>
    </w:p>
    <w:p w14:paraId="5BA5E73D" w14:textId="77777777" w:rsidR="00111CBA" w:rsidRDefault="001744C8">
      <w:pPr>
        <w:widowControl/>
        <w:shd w:val="clear" w:color="auto" w:fill="FFFFFF"/>
        <w:jc w:val="left"/>
        <w:rPr>
          <w:color w:val="171717"/>
        </w:rPr>
      </w:pPr>
      <w:r>
        <w:rPr>
          <w:color w:val="171717"/>
        </w:rPr>
        <w:t xml:space="preserve">There is no place at LJAG for any form of discrimination, harassment, </w:t>
      </w:r>
      <w:proofErr w:type="gramStart"/>
      <w:r>
        <w:rPr>
          <w:color w:val="171717"/>
        </w:rPr>
        <w:t>victimisation</w:t>
      </w:r>
      <w:proofErr w:type="gramEnd"/>
      <w:r>
        <w:rPr>
          <w:color w:val="171717"/>
        </w:rPr>
        <w:t xml:space="preserve"> or sexual misconduct. Such behaviours contradict our values and diminishes the dignity of everyone involved with LJAG. </w:t>
      </w:r>
    </w:p>
    <w:p w14:paraId="06A4FD15" w14:textId="77777777" w:rsidR="00111CBA" w:rsidRDefault="00111CBA">
      <w:pPr>
        <w:widowControl/>
        <w:shd w:val="clear" w:color="auto" w:fill="FFFFFF"/>
        <w:jc w:val="left"/>
        <w:rPr>
          <w:color w:val="171717"/>
        </w:rPr>
      </w:pPr>
    </w:p>
    <w:p w14:paraId="028DD404" w14:textId="77777777" w:rsidR="00111CBA" w:rsidRDefault="001744C8">
      <w:pPr>
        <w:widowControl/>
        <w:shd w:val="clear" w:color="auto" w:fill="FFFFFF"/>
        <w:jc w:val="left"/>
      </w:pPr>
      <w:r>
        <w:t>LJAG will ensure to the best of its ability that no group or individual will be discriminated against because of their responsibility for dependents, their health, employment status, learning ability, size, social class or caste or their protected characteristic, as set out under the Equality Act 2010. The protected characteristics cover:</w:t>
      </w:r>
    </w:p>
    <w:p w14:paraId="160B5893" w14:textId="77777777" w:rsidR="00111CBA" w:rsidRDefault="00111CBA"/>
    <w:p w14:paraId="4C51BEF2" w14:textId="77777777" w:rsidR="00111CBA" w:rsidRDefault="001744C8">
      <w:pPr>
        <w:numPr>
          <w:ilvl w:val="0"/>
          <w:numId w:val="1"/>
        </w:numPr>
        <w:pBdr>
          <w:top w:val="nil"/>
          <w:left w:val="nil"/>
          <w:bottom w:val="nil"/>
          <w:right w:val="nil"/>
          <w:between w:val="nil"/>
        </w:pBdr>
      </w:pPr>
      <w:r>
        <w:t>Age</w:t>
      </w:r>
    </w:p>
    <w:p w14:paraId="77171597" w14:textId="77777777" w:rsidR="00111CBA" w:rsidRDefault="001744C8">
      <w:pPr>
        <w:numPr>
          <w:ilvl w:val="0"/>
          <w:numId w:val="1"/>
        </w:numPr>
        <w:pBdr>
          <w:top w:val="nil"/>
          <w:left w:val="nil"/>
          <w:bottom w:val="nil"/>
          <w:right w:val="nil"/>
          <w:between w:val="nil"/>
        </w:pBdr>
      </w:pPr>
      <w:r>
        <w:t>Disability</w:t>
      </w:r>
    </w:p>
    <w:p w14:paraId="4BA42D3A" w14:textId="77777777" w:rsidR="00111CBA" w:rsidRDefault="001744C8">
      <w:pPr>
        <w:numPr>
          <w:ilvl w:val="0"/>
          <w:numId w:val="1"/>
        </w:numPr>
        <w:pBdr>
          <w:top w:val="nil"/>
          <w:left w:val="nil"/>
          <w:bottom w:val="nil"/>
          <w:right w:val="nil"/>
          <w:between w:val="nil"/>
        </w:pBdr>
      </w:pPr>
      <w:r>
        <w:t>Gender reassignment</w:t>
      </w:r>
    </w:p>
    <w:p w14:paraId="7467EF25" w14:textId="77777777" w:rsidR="00111CBA" w:rsidRDefault="001744C8">
      <w:pPr>
        <w:numPr>
          <w:ilvl w:val="0"/>
          <w:numId w:val="1"/>
        </w:numPr>
        <w:pBdr>
          <w:top w:val="nil"/>
          <w:left w:val="nil"/>
          <w:bottom w:val="nil"/>
          <w:right w:val="nil"/>
          <w:between w:val="nil"/>
        </w:pBdr>
      </w:pPr>
      <w:r>
        <w:t>Marriage and Civil Partnership</w:t>
      </w:r>
    </w:p>
    <w:p w14:paraId="524E5FEB" w14:textId="77777777" w:rsidR="00111CBA" w:rsidRDefault="001744C8">
      <w:pPr>
        <w:numPr>
          <w:ilvl w:val="0"/>
          <w:numId w:val="1"/>
        </w:numPr>
        <w:pBdr>
          <w:top w:val="nil"/>
          <w:left w:val="nil"/>
          <w:bottom w:val="nil"/>
          <w:right w:val="nil"/>
          <w:between w:val="nil"/>
        </w:pBdr>
      </w:pPr>
      <w:r>
        <w:t>Pregnancy and Maternity</w:t>
      </w:r>
    </w:p>
    <w:p w14:paraId="23C28F6B" w14:textId="77777777" w:rsidR="00111CBA" w:rsidRDefault="001744C8">
      <w:pPr>
        <w:numPr>
          <w:ilvl w:val="0"/>
          <w:numId w:val="1"/>
        </w:numPr>
        <w:pBdr>
          <w:top w:val="nil"/>
          <w:left w:val="nil"/>
          <w:bottom w:val="nil"/>
          <w:right w:val="nil"/>
          <w:between w:val="nil"/>
        </w:pBdr>
      </w:pPr>
      <w:r>
        <w:t xml:space="preserve">Race (including ethnic origin, </w:t>
      </w:r>
      <w:proofErr w:type="gramStart"/>
      <w:r>
        <w:t>nationality</w:t>
      </w:r>
      <w:proofErr w:type="gramEnd"/>
      <w:r>
        <w:t xml:space="preserve"> and colour)</w:t>
      </w:r>
    </w:p>
    <w:p w14:paraId="7A04B590" w14:textId="77777777" w:rsidR="00111CBA" w:rsidRDefault="001744C8">
      <w:pPr>
        <w:numPr>
          <w:ilvl w:val="0"/>
          <w:numId w:val="1"/>
        </w:numPr>
        <w:pBdr>
          <w:top w:val="nil"/>
          <w:left w:val="nil"/>
          <w:bottom w:val="nil"/>
          <w:right w:val="nil"/>
          <w:between w:val="nil"/>
        </w:pBdr>
      </w:pPr>
      <w:r>
        <w:t>Religion or Belief</w:t>
      </w:r>
    </w:p>
    <w:p w14:paraId="21B65046" w14:textId="77777777" w:rsidR="00111CBA" w:rsidRDefault="001744C8">
      <w:pPr>
        <w:numPr>
          <w:ilvl w:val="0"/>
          <w:numId w:val="1"/>
        </w:numPr>
        <w:pBdr>
          <w:top w:val="nil"/>
          <w:left w:val="nil"/>
          <w:bottom w:val="nil"/>
          <w:right w:val="nil"/>
          <w:between w:val="nil"/>
        </w:pBdr>
      </w:pPr>
      <w:r>
        <w:t>Sex</w:t>
      </w:r>
    </w:p>
    <w:p w14:paraId="6A3243C0" w14:textId="77777777" w:rsidR="00111CBA" w:rsidRDefault="001744C8">
      <w:pPr>
        <w:numPr>
          <w:ilvl w:val="0"/>
          <w:numId w:val="1"/>
        </w:numPr>
        <w:pBdr>
          <w:top w:val="nil"/>
          <w:left w:val="nil"/>
          <w:bottom w:val="nil"/>
          <w:right w:val="nil"/>
          <w:between w:val="nil"/>
        </w:pBdr>
      </w:pPr>
      <w:r>
        <w:t>Sexual Orientation</w:t>
      </w:r>
    </w:p>
    <w:p w14:paraId="255E110A" w14:textId="77777777" w:rsidR="00111CBA" w:rsidRDefault="00111CBA"/>
    <w:p w14:paraId="24C082E1" w14:textId="77777777" w:rsidR="00111CBA" w:rsidRDefault="001744C8">
      <w:pPr>
        <w:rPr>
          <w:b/>
        </w:rPr>
      </w:pPr>
      <w:r>
        <w:rPr>
          <w:b/>
        </w:rPr>
        <w:t>Definitions</w:t>
      </w:r>
    </w:p>
    <w:p w14:paraId="0869A7D7" w14:textId="77777777" w:rsidR="00111CBA" w:rsidRDefault="00111CBA"/>
    <w:p w14:paraId="58589C20" w14:textId="77777777" w:rsidR="00111CBA" w:rsidRDefault="001744C8">
      <w:pPr>
        <w:widowControl/>
        <w:numPr>
          <w:ilvl w:val="0"/>
          <w:numId w:val="4"/>
        </w:numPr>
        <w:spacing w:after="160" w:line="256" w:lineRule="auto"/>
        <w:jc w:val="left"/>
      </w:pPr>
      <w:r>
        <w:t xml:space="preserve">Direct discrimination: treating someone less favourably because of a Protected Characteristic. For example, rejecting a job applicant because of their religious views or sexual </w:t>
      </w:r>
      <w:proofErr w:type="gramStart"/>
      <w:r>
        <w:t>orientation;</w:t>
      </w:r>
      <w:proofErr w:type="gramEnd"/>
    </w:p>
    <w:p w14:paraId="5A6A5A3B" w14:textId="77777777" w:rsidR="00111CBA" w:rsidRDefault="001744C8">
      <w:pPr>
        <w:widowControl/>
        <w:numPr>
          <w:ilvl w:val="0"/>
          <w:numId w:val="4"/>
        </w:numPr>
        <w:spacing w:after="160" w:line="256" w:lineRule="auto"/>
        <w:jc w:val="left"/>
      </w:pPr>
      <w:r>
        <w:t xml:space="preserve">Indirect discrimination: a provision, criterion or practice that applies to everyone but adversely affects people with a particular Protected Characteristic more than others, and is not </w:t>
      </w:r>
      <w:proofErr w:type="gramStart"/>
      <w:r>
        <w:t>justified;</w:t>
      </w:r>
      <w:proofErr w:type="gramEnd"/>
    </w:p>
    <w:p w14:paraId="3D1464C6" w14:textId="77777777" w:rsidR="00111CBA" w:rsidRDefault="001744C8">
      <w:pPr>
        <w:widowControl/>
        <w:numPr>
          <w:ilvl w:val="0"/>
          <w:numId w:val="4"/>
        </w:numPr>
        <w:spacing w:after="160" w:line="256" w:lineRule="auto"/>
        <w:jc w:val="left"/>
      </w:pPr>
      <w:r>
        <w:t xml:space="preserve">Harassment: this includes sexual harassment and other unwanted conduct related to a Protected Characteristic, which has the purpose or effect of violating someone's dignity or creating an intimidating, hostile, degrading, humiliating or offensive environment for </w:t>
      </w:r>
      <w:proofErr w:type="gramStart"/>
      <w:r>
        <w:t>them;</w:t>
      </w:r>
      <w:proofErr w:type="gramEnd"/>
    </w:p>
    <w:p w14:paraId="526AC384" w14:textId="77777777" w:rsidR="00111CBA" w:rsidRDefault="001744C8">
      <w:pPr>
        <w:widowControl/>
        <w:numPr>
          <w:ilvl w:val="0"/>
          <w:numId w:val="4"/>
        </w:numPr>
        <w:spacing w:after="160" w:line="256" w:lineRule="auto"/>
        <w:jc w:val="left"/>
      </w:pPr>
      <w:r>
        <w:rPr>
          <w:color w:val="202124"/>
          <w:highlight w:val="white"/>
        </w:rPr>
        <w:t>Sexual misconduct is any conduct that is sexual, unwanted and causes distress, or that otherwise constitutes harassment, bullying or victimisation.</w:t>
      </w:r>
    </w:p>
    <w:p w14:paraId="64DB72A5" w14:textId="77777777" w:rsidR="00111CBA" w:rsidRDefault="001744C8">
      <w:pPr>
        <w:widowControl/>
        <w:numPr>
          <w:ilvl w:val="0"/>
          <w:numId w:val="4"/>
        </w:numPr>
        <w:spacing w:after="160" w:line="256" w:lineRule="auto"/>
        <w:jc w:val="left"/>
      </w:pPr>
      <w:r>
        <w:t xml:space="preserve">Victimisation: retaliation against someone who has complained or has supported someone else's complaint about discrimination or </w:t>
      </w:r>
      <w:proofErr w:type="gramStart"/>
      <w:r>
        <w:t>harassment;</w:t>
      </w:r>
      <w:proofErr w:type="gramEnd"/>
    </w:p>
    <w:p w14:paraId="51CA2006" w14:textId="77777777" w:rsidR="00111CBA" w:rsidRDefault="001744C8">
      <w:pPr>
        <w:widowControl/>
        <w:numPr>
          <w:ilvl w:val="0"/>
          <w:numId w:val="4"/>
        </w:numPr>
        <w:spacing w:after="160" w:line="256" w:lineRule="auto"/>
        <w:jc w:val="left"/>
      </w:pPr>
      <w:r>
        <w:t>Disability discrimination: this includes direct and indirect discrimination, any unjustified less favourable treatment because of the effects of a disability.</w:t>
      </w:r>
    </w:p>
    <w:p w14:paraId="523B583A" w14:textId="77777777" w:rsidR="00111CBA" w:rsidRDefault="00111CBA">
      <w:pPr>
        <w:widowControl/>
        <w:shd w:val="clear" w:color="auto" w:fill="FFFFFF"/>
        <w:jc w:val="left"/>
        <w:rPr>
          <w:color w:val="171717"/>
        </w:rPr>
      </w:pPr>
    </w:p>
    <w:p w14:paraId="49B47EF0" w14:textId="77777777" w:rsidR="00111CBA" w:rsidRDefault="001744C8">
      <w:pPr>
        <w:widowControl/>
        <w:shd w:val="clear" w:color="auto" w:fill="FFFFFF"/>
        <w:jc w:val="left"/>
        <w:rPr>
          <w:color w:val="171717"/>
        </w:rPr>
      </w:pPr>
      <w:r>
        <w:rPr>
          <w:color w:val="171717"/>
        </w:rPr>
        <w:t>LJAG’s dignity at work policy aims to</w:t>
      </w:r>
    </w:p>
    <w:p w14:paraId="2C769D2C" w14:textId="77777777" w:rsidR="00111CBA" w:rsidRDefault="001744C8">
      <w:pPr>
        <w:widowControl/>
        <w:shd w:val="clear" w:color="auto" w:fill="FFFFFF"/>
        <w:jc w:val="left"/>
        <w:rPr>
          <w:color w:val="171717"/>
        </w:rPr>
      </w:pPr>
      <w:r>
        <w:rPr>
          <w:color w:val="171717"/>
        </w:rPr>
        <w:t> </w:t>
      </w:r>
    </w:p>
    <w:p w14:paraId="5D786E9C"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 xml:space="preserve">Support an inclusive and positive working environment for everyone, free from inappropriate, demeaning and unacceptable </w:t>
      </w:r>
      <w:proofErr w:type="gramStart"/>
      <w:r>
        <w:rPr>
          <w:color w:val="171717"/>
        </w:rPr>
        <w:t>behaviours;</w:t>
      </w:r>
      <w:proofErr w:type="gramEnd"/>
    </w:p>
    <w:p w14:paraId="70383767"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 xml:space="preserve">Make it clear that harassment, </w:t>
      </w:r>
      <w:proofErr w:type="gramStart"/>
      <w:r>
        <w:rPr>
          <w:color w:val="171717"/>
        </w:rPr>
        <w:t>bullying</w:t>
      </w:r>
      <w:proofErr w:type="gramEnd"/>
      <w:r>
        <w:rPr>
          <w:color w:val="171717"/>
        </w:rPr>
        <w:t xml:space="preserve"> and discrimination are unacceptable. We are all responsible for creating an environment and culture which is free from bullying, discrimination and </w:t>
      </w:r>
      <w:proofErr w:type="gramStart"/>
      <w:r>
        <w:rPr>
          <w:color w:val="171717"/>
        </w:rPr>
        <w:t>harassment;</w:t>
      </w:r>
      <w:proofErr w:type="gramEnd"/>
    </w:p>
    <w:p w14:paraId="37B2575D"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 xml:space="preserve">Provide a framework for respect and good conduct at work so we can prevent and eliminate inappropriate and demeaning </w:t>
      </w:r>
      <w:proofErr w:type="gramStart"/>
      <w:r>
        <w:rPr>
          <w:color w:val="171717"/>
        </w:rPr>
        <w:t>behaviours;</w:t>
      </w:r>
      <w:proofErr w:type="gramEnd"/>
    </w:p>
    <w:p w14:paraId="4FCE68D2"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 xml:space="preserve">Highlight options available to staff, volunteers, trustees and everyone involved with us who feel they have been subject to bullying, harassment, discrimination, sexual misconduct, or any other inappropriate or unacceptable </w:t>
      </w:r>
      <w:proofErr w:type="gramStart"/>
      <w:r>
        <w:rPr>
          <w:color w:val="171717"/>
        </w:rPr>
        <w:t>behaviour;</w:t>
      </w:r>
      <w:proofErr w:type="gramEnd"/>
    </w:p>
    <w:p w14:paraId="3C98188E"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 xml:space="preserve">Establish a mechanism by which complaints can be addressed in a timely, professional and inclusive </w:t>
      </w:r>
      <w:proofErr w:type="gramStart"/>
      <w:r>
        <w:rPr>
          <w:color w:val="171717"/>
        </w:rPr>
        <w:t>manner;</w:t>
      </w:r>
      <w:proofErr w:type="gramEnd"/>
    </w:p>
    <w:p w14:paraId="31F2D861" w14:textId="77777777" w:rsidR="00111CBA" w:rsidRDefault="001744C8">
      <w:pPr>
        <w:widowControl/>
        <w:numPr>
          <w:ilvl w:val="0"/>
          <w:numId w:val="2"/>
        </w:numPr>
        <w:pBdr>
          <w:top w:val="nil"/>
          <w:left w:val="nil"/>
          <w:bottom w:val="nil"/>
          <w:right w:val="nil"/>
          <w:between w:val="nil"/>
        </w:pBdr>
        <w:shd w:val="clear" w:color="auto" w:fill="FFFFFF"/>
        <w:jc w:val="left"/>
        <w:rPr>
          <w:color w:val="171717"/>
        </w:rPr>
      </w:pPr>
      <w:r>
        <w:rPr>
          <w:color w:val="171717"/>
        </w:rPr>
        <w:t>Set out responsibilities for managing and supporting staff when they raise any concerns under our dignity at work policy.</w:t>
      </w:r>
    </w:p>
    <w:p w14:paraId="4C63BE14" w14:textId="77777777" w:rsidR="00111CBA" w:rsidRDefault="001744C8">
      <w:pPr>
        <w:widowControl/>
        <w:pBdr>
          <w:top w:val="nil"/>
          <w:left w:val="nil"/>
          <w:bottom w:val="nil"/>
          <w:right w:val="nil"/>
          <w:between w:val="nil"/>
        </w:pBdr>
        <w:shd w:val="clear" w:color="auto" w:fill="FFFFFF"/>
        <w:ind w:left="780"/>
        <w:jc w:val="left"/>
        <w:rPr>
          <w:color w:val="171717"/>
        </w:rPr>
      </w:pPr>
      <w:r>
        <w:rPr>
          <w:color w:val="171717"/>
        </w:rPr>
        <w:t> </w:t>
      </w:r>
    </w:p>
    <w:p w14:paraId="297FF1FD" w14:textId="77777777" w:rsidR="00111CBA" w:rsidRDefault="001744C8">
      <w:pPr>
        <w:widowControl/>
        <w:shd w:val="clear" w:color="auto" w:fill="FFFFFF"/>
        <w:spacing w:after="150"/>
        <w:jc w:val="left"/>
        <w:rPr>
          <w:color w:val="171717"/>
        </w:rPr>
      </w:pPr>
      <w:r>
        <w:rPr>
          <w:color w:val="171717"/>
        </w:rPr>
        <w:t>We each have a personal responsibility to</w:t>
      </w:r>
    </w:p>
    <w:p w14:paraId="2C733FE4" w14:textId="77777777" w:rsidR="00111CBA" w:rsidRDefault="001744C8">
      <w:pPr>
        <w:widowControl/>
        <w:numPr>
          <w:ilvl w:val="0"/>
          <w:numId w:val="3"/>
        </w:numPr>
        <w:pBdr>
          <w:top w:val="nil"/>
          <w:left w:val="nil"/>
          <w:bottom w:val="nil"/>
          <w:right w:val="nil"/>
          <w:between w:val="nil"/>
        </w:pBdr>
        <w:shd w:val="clear" w:color="auto" w:fill="FFFFFF"/>
        <w:jc w:val="left"/>
        <w:rPr>
          <w:color w:val="171717"/>
        </w:rPr>
      </w:pPr>
      <w:r>
        <w:rPr>
          <w:color w:val="171717"/>
        </w:rPr>
        <w:t>Treat others with dignity and respect</w:t>
      </w:r>
    </w:p>
    <w:p w14:paraId="5C66E485" w14:textId="77777777" w:rsidR="00111CBA" w:rsidRDefault="001744C8">
      <w:pPr>
        <w:widowControl/>
        <w:numPr>
          <w:ilvl w:val="0"/>
          <w:numId w:val="3"/>
        </w:numPr>
        <w:pBdr>
          <w:top w:val="nil"/>
          <w:left w:val="nil"/>
          <w:bottom w:val="nil"/>
          <w:right w:val="nil"/>
          <w:between w:val="nil"/>
        </w:pBdr>
        <w:shd w:val="clear" w:color="auto" w:fill="FFFFFF"/>
        <w:jc w:val="left"/>
        <w:rPr>
          <w:color w:val="171717"/>
        </w:rPr>
      </w:pPr>
      <w:r>
        <w:rPr>
          <w:color w:val="171717"/>
        </w:rPr>
        <w:t>Discourage and challenge any form of discrimination, harassment, bullying or inappropriate behaviours and make it clear that such behaviours are unacceptable. Where this happens LJAG will deal with these issues in line with relevant policies such as our bullying and harassment and disciplinary policies</w:t>
      </w:r>
    </w:p>
    <w:p w14:paraId="7259A239" w14:textId="77777777" w:rsidR="00111CBA" w:rsidRDefault="001744C8">
      <w:pPr>
        <w:widowControl/>
        <w:numPr>
          <w:ilvl w:val="0"/>
          <w:numId w:val="3"/>
        </w:numPr>
        <w:pBdr>
          <w:top w:val="nil"/>
          <w:left w:val="nil"/>
          <w:bottom w:val="nil"/>
          <w:right w:val="nil"/>
          <w:between w:val="nil"/>
        </w:pBdr>
        <w:shd w:val="clear" w:color="auto" w:fill="FFFFFF"/>
        <w:jc w:val="left"/>
        <w:rPr>
          <w:color w:val="171717"/>
        </w:rPr>
      </w:pPr>
      <w:r>
        <w:rPr>
          <w:color w:val="171717"/>
        </w:rPr>
        <w:t xml:space="preserve">Support anyone who has been at the receiving end of such behaviours, including supporting them to make a formal </w:t>
      </w:r>
      <w:proofErr w:type="gramStart"/>
      <w:r>
        <w:rPr>
          <w:color w:val="171717"/>
        </w:rPr>
        <w:t>complaint</w:t>
      </w:r>
      <w:proofErr w:type="gramEnd"/>
    </w:p>
    <w:p w14:paraId="73B151BA" w14:textId="77777777" w:rsidR="00111CBA" w:rsidRDefault="001744C8">
      <w:pPr>
        <w:widowControl/>
        <w:numPr>
          <w:ilvl w:val="0"/>
          <w:numId w:val="3"/>
        </w:numPr>
        <w:pBdr>
          <w:top w:val="nil"/>
          <w:left w:val="nil"/>
          <w:bottom w:val="nil"/>
          <w:right w:val="nil"/>
          <w:between w:val="nil"/>
        </w:pBdr>
        <w:shd w:val="clear" w:color="auto" w:fill="FFFFFF"/>
        <w:spacing w:after="150"/>
        <w:jc w:val="left"/>
        <w:rPr>
          <w:color w:val="171717"/>
        </w:rPr>
      </w:pPr>
      <w:r>
        <w:rPr>
          <w:color w:val="171717"/>
        </w:rPr>
        <w:t>Managers and project leads have a particular responsibility for setting standards and ensuring appropriate workplace behaviours are maintained. They should set a good example and ensure concerns raised are acted upon.</w:t>
      </w:r>
    </w:p>
    <w:p w14:paraId="7499317F" w14:textId="77777777" w:rsidR="00111CBA" w:rsidRDefault="001744C8">
      <w:pPr>
        <w:widowControl/>
        <w:shd w:val="clear" w:color="auto" w:fill="FFFFFF"/>
        <w:spacing w:after="150"/>
        <w:jc w:val="left"/>
        <w:rPr>
          <w:color w:val="171717"/>
        </w:rPr>
      </w:pPr>
      <w:r>
        <w:rPr>
          <w:color w:val="171717"/>
        </w:rPr>
        <w:t>The Dignity at Work Policy does not form part of and is not intended to vary the contract of employment or worker’s contract. It may be amended from time to time, as necessary.</w:t>
      </w:r>
    </w:p>
    <w:p w14:paraId="340CC8C1" w14:textId="77777777" w:rsidR="00111CBA" w:rsidRDefault="00111CBA">
      <w:pPr>
        <w:pStyle w:val="Heading2"/>
        <w:rPr>
          <w:rFonts w:ascii="Arial" w:eastAsia="Arial" w:hAnsi="Arial" w:cs="Arial"/>
          <w:b/>
          <w:color w:val="222222"/>
          <w:sz w:val="24"/>
          <w:szCs w:val="24"/>
        </w:rPr>
      </w:pP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559"/>
        <w:gridCol w:w="1843"/>
        <w:gridCol w:w="1984"/>
        <w:gridCol w:w="1984"/>
      </w:tblGrid>
      <w:tr w:rsidR="00111CBA" w14:paraId="5B65B6C6" w14:textId="77777777">
        <w:tc>
          <w:tcPr>
            <w:tcW w:w="1975" w:type="dxa"/>
            <w:shd w:val="clear" w:color="auto" w:fill="auto"/>
            <w:tcMar>
              <w:top w:w="100" w:type="dxa"/>
              <w:left w:w="100" w:type="dxa"/>
              <w:bottom w:w="100" w:type="dxa"/>
              <w:right w:w="100" w:type="dxa"/>
            </w:tcMar>
          </w:tcPr>
          <w:p w14:paraId="697E5214" w14:textId="77777777" w:rsidR="00111CBA" w:rsidRDefault="001744C8">
            <w:pPr>
              <w:rPr>
                <w:b/>
              </w:rPr>
            </w:pPr>
            <w:r>
              <w:rPr>
                <w:b/>
              </w:rPr>
              <w:t>Date Created</w:t>
            </w:r>
          </w:p>
        </w:tc>
        <w:tc>
          <w:tcPr>
            <w:tcW w:w="1559" w:type="dxa"/>
            <w:shd w:val="clear" w:color="auto" w:fill="auto"/>
            <w:tcMar>
              <w:top w:w="100" w:type="dxa"/>
              <w:left w:w="100" w:type="dxa"/>
              <w:bottom w:w="100" w:type="dxa"/>
              <w:right w:w="100" w:type="dxa"/>
            </w:tcMar>
          </w:tcPr>
          <w:p w14:paraId="2E1FAB6C" w14:textId="77777777" w:rsidR="00111CBA" w:rsidRDefault="001744C8">
            <w:pPr>
              <w:rPr>
                <w:b/>
              </w:rPr>
            </w:pPr>
            <w:r>
              <w:rPr>
                <w:b/>
              </w:rPr>
              <w:t xml:space="preserve">Date Reviewed  </w:t>
            </w:r>
          </w:p>
        </w:tc>
        <w:tc>
          <w:tcPr>
            <w:tcW w:w="1843" w:type="dxa"/>
          </w:tcPr>
          <w:p w14:paraId="10002621" w14:textId="77777777" w:rsidR="00111CBA" w:rsidRDefault="001744C8">
            <w:pPr>
              <w:rPr>
                <w:b/>
              </w:rPr>
            </w:pPr>
            <w:r>
              <w:rPr>
                <w:b/>
              </w:rPr>
              <w:t>Document Version</w:t>
            </w:r>
          </w:p>
        </w:tc>
        <w:tc>
          <w:tcPr>
            <w:tcW w:w="1984" w:type="dxa"/>
            <w:shd w:val="clear" w:color="auto" w:fill="auto"/>
            <w:tcMar>
              <w:top w:w="100" w:type="dxa"/>
              <w:left w:w="100" w:type="dxa"/>
              <w:bottom w:w="100" w:type="dxa"/>
              <w:right w:w="100" w:type="dxa"/>
            </w:tcMar>
          </w:tcPr>
          <w:p w14:paraId="70C375EF" w14:textId="77777777" w:rsidR="00111CBA" w:rsidRDefault="001744C8">
            <w:pPr>
              <w:rPr>
                <w:b/>
              </w:rPr>
            </w:pPr>
            <w:r>
              <w:rPr>
                <w:b/>
              </w:rPr>
              <w:t>Approved by Trustees</w:t>
            </w:r>
          </w:p>
        </w:tc>
        <w:tc>
          <w:tcPr>
            <w:tcW w:w="1984" w:type="dxa"/>
          </w:tcPr>
          <w:p w14:paraId="159049A3" w14:textId="77777777" w:rsidR="00111CBA" w:rsidRDefault="001744C8">
            <w:pPr>
              <w:rPr>
                <w:b/>
              </w:rPr>
            </w:pPr>
            <w:r>
              <w:rPr>
                <w:b/>
              </w:rPr>
              <w:t>Next Review Date</w:t>
            </w:r>
          </w:p>
        </w:tc>
      </w:tr>
      <w:tr w:rsidR="00111CBA" w14:paraId="6ED029BF" w14:textId="77777777">
        <w:tc>
          <w:tcPr>
            <w:tcW w:w="1975" w:type="dxa"/>
            <w:shd w:val="clear" w:color="auto" w:fill="auto"/>
            <w:tcMar>
              <w:top w:w="100" w:type="dxa"/>
              <w:left w:w="100" w:type="dxa"/>
              <w:bottom w:w="100" w:type="dxa"/>
              <w:right w:w="100" w:type="dxa"/>
            </w:tcMar>
          </w:tcPr>
          <w:p w14:paraId="6821AB7C" w14:textId="77777777" w:rsidR="00111CBA" w:rsidRDefault="001744C8">
            <w:r>
              <w:t>6 June 2022</w:t>
            </w:r>
          </w:p>
        </w:tc>
        <w:tc>
          <w:tcPr>
            <w:tcW w:w="1559" w:type="dxa"/>
            <w:shd w:val="clear" w:color="auto" w:fill="auto"/>
            <w:tcMar>
              <w:top w:w="100" w:type="dxa"/>
              <w:left w:w="100" w:type="dxa"/>
              <w:bottom w:w="100" w:type="dxa"/>
              <w:right w:w="100" w:type="dxa"/>
            </w:tcMar>
          </w:tcPr>
          <w:p w14:paraId="6EBCA0EA" w14:textId="77777777" w:rsidR="00111CBA" w:rsidRDefault="001744C8">
            <w:r>
              <w:t>6 June 2022</w:t>
            </w:r>
          </w:p>
        </w:tc>
        <w:tc>
          <w:tcPr>
            <w:tcW w:w="1843" w:type="dxa"/>
          </w:tcPr>
          <w:p w14:paraId="55762E49" w14:textId="77777777" w:rsidR="00111CBA" w:rsidRDefault="001744C8">
            <w:r>
              <w:t>1</w:t>
            </w:r>
          </w:p>
        </w:tc>
        <w:tc>
          <w:tcPr>
            <w:tcW w:w="1984" w:type="dxa"/>
            <w:shd w:val="clear" w:color="auto" w:fill="auto"/>
            <w:tcMar>
              <w:top w:w="100" w:type="dxa"/>
              <w:left w:w="100" w:type="dxa"/>
              <w:bottom w:w="100" w:type="dxa"/>
              <w:right w:w="100" w:type="dxa"/>
            </w:tcMar>
          </w:tcPr>
          <w:p w14:paraId="31DA9B55" w14:textId="77777777" w:rsidR="00111CBA" w:rsidRDefault="001744C8">
            <w:r>
              <w:rPr>
                <w:noProof/>
              </w:rPr>
              <w:drawing>
                <wp:inline distT="114300" distB="114300" distL="114300" distR="114300" wp14:anchorId="2B624581" wp14:editId="74112CBE">
                  <wp:extent cx="1123950" cy="406400"/>
                  <wp:effectExtent l="0" t="0" r="0" b="0"/>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123950" cy="406400"/>
                          </a:xfrm>
                          <a:prstGeom prst="rect">
                            <a:avLst/>
                          </a:prstGeom>
                          <a:ln/>
                        </pic:spPr>
                      </pic:pic>
                    </a:graphicData>
                  </a:graphic>
                </wp:inline>
              </w:drawing>
            </w:r>
          </w:p>
        </w:tc>
        <w:tc>
          <w:tcPr>
            <w:tcW w:w="1984" w:type="dxa"/>
          </w:tcPr>
          <w:p w14:paraId="2A85EC8A" w14:textId="77777777" w:rsidR="00111CBA" w:rsidRDefault="001744C8">
            <w:r>
              <w:t>5 June 2024</w:t>
            </w:r>
          </w:p>
        </w:tc>
      </w:tr>
    </w:tbl>
    <w:p w14:paraId="42DE6665" w14:textId="77777777" w:rsidR="00111CBA" w:rsidRDefault="00111CBA">
      <w:pPr>
        <w:rPr>
          <w:b/>
        </w:rPr>
      </w:pPr>
    </w:p>
    <w:p w14:paraId="653E707E" w14:textId="77777777" w:rsidR="00111CBA" w:rsidRDefault="00111CBA"/>
    <w:sectPr w:rsidR="00111C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embedRegular r:id="rId1" w:fontKey="{05BA7C3B-2F07-4AF4-8545-AD67B85C634A}"/>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C899421F-8AC4-4B43-8CD9-1B7F65FADF18}"/>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3596F79B-1737-491D-B311-4DCA19F0D6D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1B46"/>
    <w:multiLevelType w:val="multilevel"/>
    <w:tmpl w:val="F4563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AB075A"/>
    <w:multiLevelType w:val="multilevel"/>
    <w:tmpl w:val="86F4B5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E9D1FC0"/>
    <w:multiLevelType w:val="multilevel"/>
    <w:tmpl w:val="8CB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23110E"/>
    <w:multiLevelType w:val="multilevel"/>
    <w:tmpl w:val="08504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678472">
    <w:abstractNumId w:val="2"/>
  </w:num>
  <w:num w:numId="2" w16cid:durableId="1960723528">
    <w:abstractNumId w:val="1"/>
  </w:num>
  <w:num w:numId="3" w16cid:durableId="1091586865">
    <w:abstractNumId w:val="0"/>
  </w:num>
  <w:num w:numId="4" w16cid:durableId="451678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BA"/>
    <w:rsid w:val="00111CBA"/>
    <w:rsid w:val="00174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B6B0"/>
  <w15:docId w15:val="{A42D35A7-B5E2-4A0F-B174-B7FA945A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42"/>
    <w:rPr>
      <w:color w:val="000000"/>
    </w:rPr>
  </w:style>
  <w:style w:type="paragraph" w:styleId="Heading1">
    <w:name w:val="heading 1"/>
    <w:basedOn w:val="Normal"/>
    <w:next w:val="Normal"/>
    <w:link w:val="Heading1Char"/>
    <w:uiPriority w:val="9"/>
    <w:qFormat/>
    <w:rsid w:val="00976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6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1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1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1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1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142"/>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6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142"/>
    <w:rPr>
      <w:rFonts w:eastAsiaTheme="majorEastAsia" w:cstheme="majorBidi"/>
      <w:color w:val="272727" w:themeColor="text1" w:themeTint="D8"/>
    </w:rPr>
  </w:style>
  <w:style w:type="character" w:customStyle="1" w:styleId="TitleChar">
    <w:name w:val="Title Char"/>
    <w:basedOn w:val="DefaultParagraphFont"/>
    <w:link w:val="Title"/>
    <w:uiPriority w:val="10"/>
    <w:rsid w:val="00976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76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142"/>
    <w:pPr>
      <w:spacing w:before="160"/>
      <w:jc w:val="center"/>
    </w:pPr>
    <w:rPr>
      <w:i/>
      <w:iCs/>
      <w:color w:val="404040" w:themeColor="text1" w:themeTint="BF"/>
    </w:rPr>
  </w:style>
  <w:style w:type="character" w:customStyle="1" w:styleId="QuoteChar">
    <w:name w:val="Quote Char"/>
    <w:basedOn w:val="DefaultParagraphFont"/>
    <w:link w:val="Quote"/>
    <w:uiPriority w:val="29"/>
    <w:rsid w:val="00976142"/>
    <w:rPr>
      <w:i/>
      <w:iCs/>
      <w:color w:val="404040" w:themeColor="text1" w:themeTint="BF"/>
    </w:rPr>
  </w:style>
  <w:style w:type="paragraph" w:styleId="ListParagraph">
    <w:name w:val="List Paragraph"/>
    <w:basedOn w:val="Normal"/>
    <w:uiPriority w:val="34"/>
    <w:qFormat/>
    <w:rsid w:val="00976142"/>
    <w:pPr>
      <w:ind w:left="720"/>
      <w:contextualSpacing/>
    </w:pPr>
  </w:style>
  <w:style w:type="character" w:styleId="IntenseEmphasis">
    <w:name w:val="Intense Emphasis"/>
    <w:basedOn w:val="DefaultParagraphFont"/>
    <w:uiPriority w:val="21"/>
    <w:qFormat/>
    <w:rsid w:val="00976142"/>
    <w:rPr>
      <w:i/>
      <w:iCs/>
      <w:color w:val="0F4761" w:themeColor="accent1" w:themeShade="BF"/>
    </w:rPr>
  </w:style>
  <w:style w:type="paragraph" w:styleId="IntenseQuote">
    <w:name w:val="Intense Quote"/>
    <w:basedOn w:val="Normal"/>
    <w:next w:val="Normal"/>
    <w:link w:val="IntenseQuoteChar"/>
    <w:uiPriority w:val="30"/>
    <w:qFormat/>
    <w:rsid w:val="00976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142"/>
    <w:rPr>
      <w:i/>
      <w:iCs/>
      <w:color w:val="0F4761" w:themeColor="accent1" w:themeShade="BF"/>
    </w:rPr>
  </w:style>
  <w:style w:type="character" w:styleId="IntenseReference">
    <w:name w:val="Intense Reference"/>
    <w:basedOn w:val="DefaultParagraphFont"/>
    <w:uiPriority w:val="32"/>
    <w:qFormat/>
    <w:rsid w:val="00976142"/>
    <w:rPr>
      <w:b/>
      <w:bCs/>
      <w:smallCaps/>
      <w:color w:val="0F4761" w:themeColor="accent1" w:themeShade="BF"/>
      <w:spacing w:val="5"/>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zodFJAlVzQa/trfsaSnNL3ufA==">CgMxLjAyCGguZ2pkZ3hzOAByITF4eGdvMGRJd2dSc2NybnhWby0yQWdWRHI3RXY1ZUV3Tg==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Adjaye</dc:creator>
  <cp:lastModifiedBy>Margaret Adjaye</cp:lastModifiedBy>
  <cp:revision>2</cp:revision>
  <dcterms:created xsi:type="dcterms:W3CDTF">2024-05-01T18:03:00Z</dcterms:created>
  <dcterms:modified xsi:type="dcterms:W3CDTF">2024-05-01T18:03:00Z</dcterms:modified>
</cp:coreProperties>
</file>